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sz w:val="20"/>
          <w:szCs w:val="20"/>
        </w:rPr>
      </w:pPr>
      <w:r>
        <w:rPr>
          <w:rFonts w:cs="Arial" w:ascii="Verdana" w:hAnsi="Verdana"/>
          <w:b/>
          <w:bCs/>
          <w:smallCaps/>
          <w:color w:val="000000"/>
          <w:sz w:val="20"/>
          <w:szCs w:val="20"/>
        </w:rPr>
        <w:t xml:space="preserve">EDITAL </w:t>
      </w:r>
    </w:p>
    <w:p>
      <w:pPr>
        <w:pStyle w:val="Normal"/>
        <w:jc w:val="center"/>
        <w:rPr>
          <w:rFonts w:ascii="Verdana" w:hAnsi="Verdana"/>
          <w:sz w:val="20"/>
          <w:szCs w:val="20"/>
        </w:rPr>
      </w:pPr>
      <w:r>
        <w:rPr>
          <w:rFonts w:cs="Arial" w:ascii="Verdana" w:hAnsi="Verdana"/>
          <w:b/>
          <w:bCs/>
          <w:smallCaps/>
          <w:color w:val="000000"/>
          <w:sz w:val="20"/>
          <w:szCs w:val="20"/>
        </w:rPr>
        <w:t>PREGÃO ELETRÔNICO Nº 009/2026</w:t>
      </w:r>
    </w:p>
    <w:p>
      <w:pPr>
        <w:pStyle w:val="Normal"/>
        <w:jc w:val="center"/>
        <w:rPr>
          <w:rFonts w:ascii="Verdana" w:hAnsi="Verdana"/>
          <w:sz w:val="20"/>
          <w:szCs w:val="20"/>
        </w:rPr>
      </w:pPr>
      <w:r>
        <w:rPr>
          <w:rFonts w:cs="Arial" w:ascii="Verdana" w:hAnsi="Verdana"/>
          <w:b/>
          <w:smallCaps/>
          <w:color w:val="000000"/>
          <w:sz w:val="20"/>
          <w:szCs w:val="20"/>
        </w:rPr>
        <w:t>(Processo Administrativo n° 1310/2026 de 24/02/2026)</w:t>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ascii="Verdana" w:hAnsi="Verdana"/>
          <w:sz w:val="20"/>
          <w:szCs w:val="20"/>
        </w:rPr>
      </w:r>
    </w:p>
    <w:p>
      <w:pPr>
        <w:pStyle w:val="BodyText"/>
        <w:spacing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01/04</w:t>
      </w:r>
      <w:r>
        <w:rPr>
          <w:rFonts w:cs="Arial" w:ascii="Verdana" w:hAnsi="Verdana"/>
          <w:b/>
          <w:bCs/>
          <w:color w:val="000000"/>
          <w:sz w:val="20"/>
          <w:szCs w:val="20"/>
        </w:rPr>
        <w:t>/2026.</w:t>
      </w:r>
    </w:p>
    <w:p>
      <w:pPr>
        <w:pStyle w:val="Normal"/>
        <w:spacing w:before="57" w:after="57"/>
        <w:rPr>
          <w:rFonts w:ascii="Verdana" w:hAnsi="Verdana"/>
          <w:sz w:val="20"/>
          <w:szCs w:val="20"/>
        </w:rPr>
      </w:pPr>
      <w:r>
        <w:rPr>
          <w:rFonts w:cs="Arial" w:ascii="Verdana" w:hAnsi="Verdana"/>
          <w:b/>
          <w:bCs/>
          <w:color w:val="000000"/>
          <w:sz w:val="20"/>
          <w:szCs w:val="20"/>
        </w:rPr>
        <w:t>Horário: 13h00min.</w:t>
      </w:r>
    </w:p>
    <w:p>
      <w:pPr>
        <w:pStyle w:val="Default"/>
        <w:spacing w:before="57" w:after="57"/>
        <w:rPr>
          <w:rFonts w:ascii="Verdana" w:hAnsi="Verdana"/>
          <w:sz w:val="20"/>
          <w:szCs w:val="20"/>
        </w:rPr>
      </w:pPr>
      <w:r>
        <w:rPr>
          <w:rFonts w:ascii="Verdana" w:hAnsi="Verdana"/>
          <w:b/>
          <w:sz w:val="20"/>
          <w:szCs w:val="20"/>
        </w:rPr>
        <w:t xml:space="preserve">Local: Portal de Compras Públicas – </w:t>
      </w:r>
      <w:r>
        <w:rPr>
          <w:rFonts w:ascii="Verdana" w:hAnsi="Verdana"/>
          <w:b/>
          <w:color w:val="0462C1"/>
          <w:sz w:val="20"/>
          <w:szCs w:val="20"/>
        </w:rPr>
        <w:t xml:space="preserve">www.portaldecompraspublicas.com.br </w:t>
      </w:r>
    </w:p>
    <w:p>
      <w:pPr>
        <w:pStyle w:val="Normal"/>
        <w:spacing w:before="57" w:after="57"/>
        <w:rPr/>
      </w:pPr>
      <w:r>
        <w:rPr>
          <w:rStyle w:val="InternetLink"/>
          <w:rFonts w:cs="Arial" w:ascii="Verdana" w:hAnsi="Verdana"/>
          <w:b/>
          <w:bCs/>
          <w:color w:val="000000"/>
          <w:sz w:val="20"/>
          <w:szCs w:val="20"/>
          <w:u w:val="none"/>
        </w:rPr>
        <w:t>UASG: 985693</w:t>
      </w:r>
    </w:p>
    <w:p>
      <w:pPr>
        <w:pStyle w:val="Normal"/>
        <w:spacing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rPr>
        <w:t>DO OBJETO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r>
        <w:rPr>
          <w:rFonts w:eastAsia="Times New Roman" w:cs="Arial" w:ascii="Verdana" w:hAnsi="Verdana"/>
          <w:sz w:val="20"/>
          <w:szCs w:val="20"/>
        </w:rPr>
        <w:t>A</w:t>
      </w:r>
      <w:r>
        <w:rPr>
          <w:rFonts w:eastAsia="Times New Roman" w:cs="Arial" w:ascii="Verdana" w:hAnsi="Verdana"/>
          <w:bCs/>
          <w:sz w:val="20"/>
          <w:szCs w:val="20"/>
        </w:rPr>
        <w:t xml:space="preserve">quisição de câmeras de vídeo para atender as necessidades da secretaria Municipal de Saúde, </w:t>
      </w:r>
      <w:bookmarkStart w:id="0" w:name="_Hlk177455480"/>
      <w:r>
        <w:rPr>
          <w:rFonts w:eastAsia="Times New Roman" w:cs="Arial" w:ascii="Verdana" w:hAnsi="Verdana"/>
          <w:iCs/>
          <w:color w:val="000000"/>
          <w:sz w:val="20"/>
          <w:szCs w:val="20"/>
        </w:rPr>
        <w:t xml:space="preserve">atendendo as necessidades da </w:t>
      </w:r>
      <w:bookmarkStart w:id="1" w:name="_Hlk204848183"/>
      <w:r>
        <w:rPr>
          <w:rFonts w:ascii="Verdana" w:hAnsi="Verdana"/>
          <w:iCs/>
          <w:sz w:val="20"/>
          <w:szCs w:val="20"/>
        </w:rPr>
        <w:t>Secretaria Municipal de Saúde</w:t>
      </w:r>
      <w:bookmarkEnd w:id="1"/>
      <w:r>
        <w:rPr>
          <w:rFonts w:eastAsia="Times New Roman" w:cs="Times New Roman" w:ascii="Verdana" w:hAnsi="Verdana"/>
          <w:iCs/>
          <w:sz w:val="20"/>
          <w:szCs w:val="20"/>
        </w:rPr>
        <w:t xml:space="preserve">, </w:t>
      </w:r>
      <w:bookmarkEnd w:id="0"/>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jc w:val="both"/>
        <w:rPr>
          <w:rFonts w:ascii="Verdana" w:hAnsi="Verdana"/>
          <w:sz w:val="20"/>
          <w:szCs w:val="20"/>
        </w:rPr>
      </w:pPr>
      <w:r>
        <w:rPr>
          <w:rFonts w:cs="Arial" w:ascii="Verdana" w:hAnsi="Verdana"/>
          <w:b/>
          <w:bCs/>
          <w:iCs/>
          <w:color w:val="000000"/>
          <w:sz w:val="20"/>
          <w:szCs w:val="20"/>
          <w:highlight w:val="yellow"/>
        </w:rPr>
        <w:t xml:space="preserve">1.3 </w:t>
      </w:r>
      <w:r>
        <w:rPr>
          <w:rFonts w:eastAsia="Batang;바탕" w:cs="Arial" w:ascii="Verdana" w:hAnsi="Verdana"/>
          <w:b/>
          <w:bCs/>
          <w:color w:val="000000"/>
          <w:sz w:val="20"/>
          <w:szCs w:val="20"/>
          <w:highlight w:val="yellow"/>
        </w:rPr>
        <w:t>A licitação correspondente ocorrerá com exclusividade para microempresas ou empresas de pequeno porte.</w:t>
      </w:r>
    </w:p>
    <w:p>
      <w:pPr>
        <w:pStyle w:val="Normal"/>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DOS RECURSOS ORÇAMENTÁRIOS</w:t>
      </w:r>
    </w:p>
    <w:p>
      <w:pPr>
        <w:pStyle w:val="Normal"/>
        <w:spacing w:before="57" w:after="57"/>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before="57" w:after="57"/>
        <w:jc w:val="both"/>
        <w:rPr>
          <w:rFonts w:ascii="Verdana" w:hAnsi="Verdana"/>
          <w:sz w:val="20"/>
          <w:szCs w:val="20"/>
        </w:rPr>
      </w:pPr>
      <w:r>
        <w:rPr>
          <w:rFonts w:cs="Times New Roman" w:ascii="Verdana" w:hAnsi="Verdana"/>
          <w:b/>
          <w:bCs/>
          <w:sz w:val="20"/>
          <w:szCs w:val="20"/>
          <w:lang w:eastAsia="ar-SA"/>
        </w:rPr>
        <w:t xml:space="preserve">– </w:t>
      </w:r>
      <w:r>
        <w:rPr>
          <w:rFonts w:cs="Times New Roman" w:ascii="Verdana" w:hAnsi="Verdana"/>
          <w:b/>
          <w:bCs/>
          <w:sz w:val="20"/>
          <w:szCs w:val="20"/>
          <w:lang w:eastAsia="ar-SA"/>
        </w:rPr>
        <w:t>Secretaria Municipal de Saúde</w:t>
      </w:r>
    </w:p>
    <w:p>
      <w:pPr>
        <w:pStyle w:val="Normal"/>
        <w:jc w:val="both"/>
        <w:rPr>
          <w:rFonts w:ascii="Verdana" w:hAnsi="Verdana"/>
          <w:sz w:val="20"/>
          <w:szCs w:val="20"/>
        </w:rPr>
      </w:pPr>
      <w:r>
        <w:rPr>
          <w:rFonts w:eastAsia="Times New Roman" w:cs="Arial" w:ascii="Verdana" w:hAnsi="Verdana"/>
          <w:bCs/>
          <w:sz w:val="20"/>
          <w:szCs w:val="20"/>
          <w:shd w:fill="FFFFFF" w:val="clear"/>
        </w:rPr>
        <w:t xml:space="preserve">Projeto/Atividade – 000004000002.1030142012.403 – Manutenção, Restruturação e Modernização do Fundo Municipal de Saúde – Ficha 513 (EQUIPAMENTO E MATERIAL PERMANENTE) – Fonte de Recurso 150000150000 ficando na responsabilidade </w:t>
      </w:r>
      <w:r>
        <w:rPr>
          <w:rFonts w:eastAsia="Times New Roman" w:cs="Arial" w:ascii="Verdana" w:hAnsi="Verdana"/>
          <w:color w:val="000000"/>
          <w:sz w:val="20"/>
          <w:szCs w:val="20"/>
          <w:shd w:fill="FFFFFF" w:val="clear"/>
        </w:rPr>
        <w:t>recurso FUNDO MUNICIPAL DE SAÚDE.</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ind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ind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DA PARTICIPAÇÃO NO PREGÃO.</w:t>
      </w:r>
    </w:p>
    <w:p>
      <w:pPr>
        <w:pStyle w:val="Nivel2"/>
        <w:numPr>
          <w:ilvl w:val="0"/>
          <w:numId w:val="0"/>
        </w:numPr>
        <w:suppressAutoHyphens w:val="false"/>
        <w:spacing w:lineRule="auto" w:line="240" w:before="0" w:after="0"/>
        <w:ind w:hanging="0" w:left="0"/>
        <w:rPr>
          <w:rFonts w:ascii="Verdana" w:hAnsi="Verdana"/>
        </w:rPr>
      </w:pPr>
      <w:r>
        <w:rPr>
          <w:rFonts w:cs="Arial" w:ascii="Verdana" w:hAnsi="Verdana"/>
          <w:bCs/>
          <w:color w:val="000000"/>
        </w:rPr>
        <w:t xml:space="preserve">4.1 </w:t>
      </w:r>
      <w:bookmarkStart w:id="2" w:name="_Hlk135302270"/>
      <w:bookmarkEnd w:id="2"/>
      <w:r>
        <w:rPr>
          <w:rFonts w:cs="Arial" w:ascii="Verdana" w:hAnsi="Verdana"/>
          <w:bCs/>
          <w:color w:val="000000"/>
        </w:rPr>
        <w:t>Poder</w:t>
      </w:r>
      <w:r>
        <w:rPr>
          <w:rFonts w:ascii="Verdana" w:hAnsi="Verdana"/>
        </w:rPr>
        <w:t xml:space="preserve">ão participar deste certame os interessados que atenderem as exigências contidas neste Edital e seus anexos, e que sejam possuidores de chaves de identificação e senha fornecidas para acesso ao sistema provedor. </w:t>
      </w:r>
    </w:p>
    <w:p>
      <w:pPr>
        <w:pStyle w:val="Nivel2"/>
        <w:numPr>
          <w:ilvl w:val="0"/>
          <w:numId w:val="0"/>
        </w:numPr>
        <w:suppressAutoHyphens w:val="false"/>
        <w:spacing w:lineRule="auto" w:line="240" w:before="0" w:after="0"/>
        <w:ind w:hanging="0" w:left="0"/>
        <w:rPr>
          <w:rFonts w:ascii="Verdana" w:hAnsi="Verdana"/>
        </w:rPr>
      </w:pPr>
      <w:r>
        <w:rPr>
          <w:rFonts w:ascii="Verdana" w:hAnsi="Verdana"/>
          <w:b/>
          <w:bCs/>
        </w:rPr>
        <w:t>4.2</w:t>
      </w:r>
      <w:r>
        <w:rPr>
          <w:rFonts w:ascii="Verdana" w:hAnsi="Verdana"/>
        </w:rPr>
        <w:t xml:space="preserve"> </w:t>
      </w:r>
      <w:r>
        <w:rPr>
          <w:rFonts w:cs="Arial" w:ascii="Verdana" w:hAnsi="Verdana"/>
          <w:b/>
          <w:bCs/>
          <w:iCs/>
          <w:color w:val="000000"/>
          <w:shd w:fill="FFFF00" w:val="clear"/>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before="57" w:after="57"/>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before="57" w:after="57"/>
        <w:jc w:val="both"/>
        <w:rPr>
          <w:rFonts w:ascii="Verdana" w:hAnsi="Verdana" w:cs="Arial"/>
          <w:bCs/>
          <w:sz w:val="20"/>
          <w:szCs w:val="20"/>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3"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3"/>
    </w:p>
    <w:p>
      <w:pPr>
        <w:pStyle w:val="Normal"/>
        <w:snapToGrid w:val="false"/>
        <w:spacing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color w:val="000000"/>
          <w:sz w:val="20"/>
          <w:szCs w:val="20"/>
        </w:rPr>
        <w:t>4.3.3 A</w:t>
      </w:r>
      <w:bookmarkStart w:id="4"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4"/>
    </w:p>
    <w:p>
      <w:pPr>
        <w:pStyle w:val="Normal"/>
        <w:tabs>
          <w:tab w:val="clear" w:pos="720"/>
          <w:tab w:val="left" w:pos="1440" w:leader="none"/>
        </w:tabs>
        <w:snapToGrid w:val="false"/>
        <w:spacing w:before="57" w:after="57"/>
        <w:jc w:val="both"/>
        <w:rPr>
          <w:rFonts w:ascii="Verdana" w:hAnsi="Verdana"/>
          <w:sz w:val="20"/>
          <w:szCs w:val="20"/>
        </w:rPr>
      </w:pPr>
      <w:r>
        <w:rPr>
          <w:rFonts w:eastAsia="Arial Unicode MS" w:cs="Arial" w:ascii="Verdana" w:hAnsi="Verdana"/>
          <w:color w:val="000000"/>
          <w:sz w:val="20"/>
          <w:szCs w:val="20"/>
        </w:rPr>
        <w:t>4.3.4 E</w:t>
      </w:r>
      <w:bookmarkStart w:id="5"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4.3.5 P</w:t>
      </w:r>
      <w:bookmarkStart w:id="6"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6"/>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4.3.7 E</w:t>
      </w:r>
      <w:bookmarkStart w:id="7" w:name="_Ref113883579"/>
      <w:r>
        <w:rPr>
          <w:rFonts w:cs="Arial" w:ascii="Verdana" w:hAnsi="Verdana"/>
          <w:color w:val="000000"/>
          <w:sz w:val="20"/>
          <w:szCs w:val="20"/>
        </w:rPr>
        <w:t>mpresas controladoras, controladas ou coligadas, nos termos da Lei nº 6.404, de 15 de dezembro de 1976, concorrendo entre si;</w:t>
      </w:r>
      <w:bookmarkEnd w:id="7"/>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57" w:after="57"/>
        <w:jc w:val="both"/>
        <w:rPr>
          <w:rFonts w:ascii="Verdana" w:hAnsi="Verdana"/>
          <w:sz w:val="20"/>
          <w:szCs w:val="20"/>
        </w:rPr>
      </w:pPr>
      <w:r>
        <w:rPr>
          <w:rFonts w:cs="Arial" w:ascii="Verdana" w:hAnsi="Verdana"/>
          <w:color w:val="000000"/>
          <w:sz w:val="20"/>
          <w:szCs w:val="20"/>
        </w:rPr>
        <w:t>4.3.9 A</w:t>
      </w:r>
      <w:bookmarkStart w:id="8" w:name="_Ref113962336"/>
      <w:r>
        <w:rPr>
          <w:rFonts w:cs="Arial" w:ascii="Verdana" w:hAnsi="Verdana"/>
          <w:color w:val="000000"/>
          <w:sz w:val="20"/>
          <w:szCs w:val="20"/>
        </w:rPr>
        <w:t>gente público do órgão ou entidade licitante;</w:t>
      </w:r>
      <w:bookmarkEnd w:id="8"/>
    </w:p>
    <w:p>
      <w:pPr>
        <w:pStyle w:val="Normal"/>
        <w:snapToGrid w:val="false"/>
        <w:spacing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ind w:hanging="0" w:left="0"/>
        <w:rPr>
          <w:rFonts w:ascii="Verdana" w:hAnsi="Verdana"/>
        </w:rPr>
      </w:pPr>
      <w:bookmarkStart w:id="9" w:name="art14§2"/>
      <w:bookmarkEnd w:id="9"/>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ind w:hanging="0" w:left="0"/>
        <w:rPr>
          <w:rFonts w:ascii="Verdana" w:hAnsi="Verdana"/>
        </w:rPr>
      </w:pPr>
      <w:bookmarkStart w:id="10" w:name="art14§3"/>
      <w:bookmarkEnd w:id="10"/>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ind w:hanging="0" w:left="0"/>
        <w:rPr>
          <w:rFonts w:ascii="Verdana" w:hAnsi="Verdana"/>
        </w:rPr>
      </w:pPr>
      <w:bookmarkStart w:id="11" w:name="art14§4"/>
      <w:bookmarkEnd w:id="11"/>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ind w:hanging="0" w:left="0"/>
        <w:rPr/>
      </w:pPr>
      <w:bookmarkStart w:id="12" w:name="art14§5"/>
      <w:bookmarkEnd w:id="12"/>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4"/>
        </w:numPr>
        <w:tabs>
          <w:tab w:val="clear" w:pos="720"/>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before="57" w:after="57"/>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7.10 </w:t>
      </w:r>
      <w:r>
        <w:rPr>
          <w:rFonts w:cs="Arial" w:ascii="Verdana" w:hAnsi="Verdana"/>
          <w:sz w:val="20"/>
          <w:szCs w:val="20"/>
        </w:rPr>
        <w:t>A etapa de lances na sessão pública durará 10 (dez) minutos, e após isso, será prorrogada automaticamente pelo sistema eletrônico quando houver lance ofertado nos últimos 2 (dois) minutos do período de duração da sessão pública.</w:t>
      </w:r>
    </w:p>
    <w:p>
      <w:pPr>
        <w:pStyle w:val="ListParagraph"/>
        <w:spacing w:before="57" w:after="57"/>
        <w:ind w:left="0"/>
        <w:contextualSpacing w:val="false"/>
        <w:jc w:val="both"/>
        <w:rPr>
          <w:rFonts w:ascii="Verdana" w:hAnsi="Verdana"/>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ListParagraph"/>
        <w:tabs>
          <w:tab w:val="clear" w:pos="720"/>
          <w:tab w:val="left" w:pos="2850" w:leader="none"/>
        </w:tabs>
        <w:spacing w:before="57" w:after="57"/>
        <w:ind w:left="0"/>
        <w:contextualSpacing w:val="false"/>
        <w:jc w:val="both"/>
        <w:rPr>
          <w:rFonts w:ascii="Verdana" w:hAnsi="Verdana"/>
          <w:sz w:val="20"/>
          <w:szCs w:val="20"/>
        </w:rPr>
      </w:pPr>
      <w:r>
        <w:rPr>
          <w:rFonts w:cs="Arial" w:ascii="Verdana" w:hAnsi="Verdana"/>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7.16.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7.17.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7.18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7.20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7.21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7.27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7.28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7.28.3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7.28.4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7.28.5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7.29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7.30.1 A negociação será realizada por meio do sistema, podendo ser acompanhada pelos demais licitantes.</w:t>
      </w:r>
    </w:p>
    <w:p>
      <w:pPr>
        <w:pStyle w:val="ListParagraph"/>
        <w:tabs>
          <w:tab w:val="clear" w:pos="720"/>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7.30.2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7.31 Após a negociação do preço, o Pregoeiro iniciará a fase de aceitação e julgamento da proposta.</w:t>
      </w:r>
    </w:p>
    <w:p>
      <w:pPr>
        <w:pStyle w:val="ListParagraph"/>
        <w:tabs>
          <w:tab w:val="clear" w:pos="720"/>
          <w:tab w:val="left" w:pos="-12" w:leader="none"/>
        </w:tabs>
        <w:spacing w:before="57" w:after="57"/>
        <w:ind w:left="0"/>
        <w:contextualSpacing w:val="false"/>
        <w:jc w:val="both"/>
        <w:rPr>
          <w:rFonts w:ascii="Verdana" w:hAnsi="Verdana"/>
          <w:color w:val="000000"/>
          <w:sz w:val="20"/>
          <w:szCs w:val="20"/>
        </w:rPr>
      </w:pPr>
      <w:r>
        <w:rPr>
          <w:rFonts w:ascii="Verdana" w:hAnsi="Verdana"/>
          <w:color w:val="000000"/>
          <w:sz w:val="20"/>
          <w:szCs w:val="20"/>
        </w:rPr>
      </w:r>
    </w:p>
    <w:p>
      <w:pPr>
        <w:pStyle w:val="Nivel01"/>
        <w:numPr>
          <w:ilvl w:val="0"/>
          <w:numId w:val="2"/>
        </w:numPr>
        <w:tabs>
          <w:tab w:val="clear" w:pos="567"/>
          <w:tab w:val="left" w:pos="517" w:leader="none"/>
        </w:tabs>
        <w:spacing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before="57" w:after="57"/>
        <w:ind w:hanging="0" w:left="0"/>
        <w:contextualSpacing/>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1"/>
          <w:sz w:val="20"/>
          <w:u w:val="single"/>
          <w:szCs w:val="20"/>
          <w:rFonts w:cs="Arial" w:ascii="Verdana" w:hAnsi="Verdana"/>
          <w:color w:val="000080"/>
        </w:rPr>
        <w:fldChar w:fldCharType="separate"/>
      </w:r>
      <w:r>
        <w:rPr>
          <w:rStyle w:val="ListLabel191"/>
          <w:rFonts w:cs="Arial" w:ascii="Verdana" w:hAnsi="Verdana"/>
          <w:color w:val="000080"/>
          <w:sz w:val="20"/>
          <w:szCs w:val="20"/>
          <w:u w:val="single"/>
        </w:rPr>
        <w:t>artigo 29 a 35 da IN SEGES nº 73, de 30 de setembro de 2022</w:t>
      </w:r>
      <w:r>
        <w:rPr>
          <w:rStyle w:val="ListLabel1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8.10.1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en-US"/>
        </w:rPr>
        <w:t>8.12.2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567"/>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567"/>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2">
        <w:r>
          <w:rPr>
            <w:rStyle w:val="ListLabel1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567"/>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3">
        <w:r>
          <w:rPr>
            <w:rStyle w:val="ListLabel1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567"/>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ind w:left="56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4">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5">
        <w:r>
          <w:rPr>
            <w:rStyle w:val="ListLabel1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6">
        <w:r>
          <w:rPr>
            <w:rStyle w:val="ListLabel1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20"/>
          <w:tab w:val="left" w:pos="850" w:leader="none"/>
        </w:tabs>
        <w:snapToGrid w:val="false"/>
        <w:spacing w:before="57" w:after="57"/>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tabs>
          <w:tab w:val="clear" w:pos="720"/>
          <w:tab w:val="left" w:pos="4305" w:leader="none"/>
        </w:tabs>
        <w:spacing w:before="57" w:after="57"/>
        <w:ind w:left="0"/>
        <w:contextualSpacing w:val="false"/>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2"/>
          <w:numId w:val="4"/>
        </w:numPr>
        <w:snapToGrid w:val="false"/>
        <w:spacing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2"/>
          <w:numId w:val="4"/>
        </w:numPr>
        <w:tabs>
          <w:tab w:val="clear" w:pos="720"/>
          <w:tab w:val="left" w:pos="900" w:leader="none"/>
        </w:tabs>
        <w:snapToGrid w:val="false"/>
        <w:spacing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2"/>
          <w:numId w:val="4"/>
        </w:numPr>
        <w:tabs>
          <w:tab w:val="clear" w:pos="720"/>
          <w:tab w:val="left" w:pos="900" w:leader="none"/>
        </w:tabs>
        <w:snapToGrid w:val="false"/>
        <w:spacing w:before="57" w:after="57"/>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Normal"/>
        <w:rPr>
          <w:rFonts w:ascii="Verdana" w:hAnsi="Verdana"/>
          <w:sz w:val="20"/>
          <w:szCs w:val="20"/>
        </w:rPr>
      </w:pPr>
      <w:r>
        <w:rPr>
          <w:rFonts w:ascii="Verdana" w:hAnsi="Verdana"/>
          <w:sz w:val="20"/>
          <w:szCs w:val="20"/>
        </w:rPr>
      </w:r>
    </w:p>
    <w:p>
      <w:pPr>
        <w:pStyle w:val="Nivel01"/>
        <w:numPr>
          <w:ilvl w:val="0"/>
          <w:numId w:val="4"/>
        </w:numPr>
        <w:spacing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tabs>
          <w:tab w:val="clear" w:pos="720"/>
          <w:tab w:val="left" w:pos="617"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10.1 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tabs>
          <w:tab w:val="clear" w:pos="720"/>
          <w:tab w:val="left" w:pos="617" w:leader="none"/>
          <w:tab w:val="left" w:pos="900" w:leader="none"/>
        </w:tabs>
        <w:spacing w:before="57" w:after="57"/>
        <w:jc w:val="both"/>
        <w:rPr>
          <w:rFonts w:ascii="Verdana" w:hAnsi="Verdana"/>
          <w:sz w:val="20"/>
          <w:szCs w:val="20"/>
        </w:rPr>
      </w:pPr>
      <w:r>
        <w:rPr>
          <w:rFonts w:cs="Arial" w:ascii="Verdana" w:hAnsi="Verdana"/>
          <w:iCs/>
          <w:sz w:val="20"/>
          <w:szCs w:val="20"/>
        </w:rPr>
        <w:t>10.1.1 Ser redigida em língua portuguesa, datilografada ou digitada, em uma via, sem emendas, rasuras, entrelinhas ou ressalvas, devendo a última folha ser assinada e as demais rubricadas pelo licitante ou seu representante legal.</w:t>
      </w:r>
    </w:p>
    <w:p>
      <w:pPr>
        <w:pStyle w:val="Normal"/>
        <w:tabs>
          <w:tab w:val="clear" w:pos="720"/>
          <w:tab w:val="left" w:pos="617" w:leader="none"/>
          <w:tab w:val="left" w:pos="900" w:leader="none"/>
        </w:tabs>
        <w:spacing w:before="57" w:after="57"/>
        <w:jc w:val="both"/>
        <w:rPr>
          <w:rFonts w:ascii="Verdana" w:hAnsi="Verdana"/>
          <w:sz w:val="20"/>
          <w:szCs w:val="20"/>
        </w:rPr>
      </w:pPr>
      <w:r>
        <w:rPr>
          <w:rFonts w:cs="Arial" w:ascii="Verdana" w:hAnsi="Verdana"/>
          <w:iCs/>
          <w:sz w:val="20"/>
          <w:szCs w:val="20"/>
        </w:rPr>
        <w:t>10.1.2 Apresentar a planilha de custos e formação de preços, devidamente ajustada ao lance vencedor, em conformidade com o modelo anexo a este instrumento convocatório.</w:t>
      </w:r>
    </w:p>
    <w:p>
      <w:pPr>
        <w:pStyle w:val="Normal"/>
        <w:tabs>
          <w:tab w:val="clear" w:pos="720"/>
          <w:tab w:val="left" w:pos="617" w:leader="none"/>
          <w:tab w:val="left" w:pos="900" w:leader="none"/>
        </w:tabs>
        <w:spacing w:before="57" w:after="57"/>
        <w:jc w:val="both"/>
        <w:rPr>
          <w:rFonts w:ascii="Verdana" w:hAnsi="Verdana"/>
          <w:sz w:val="20"/>
          <w:szCs w:val="20"/>
        </w:rPr>
      </w:pPr>
      <w:r>
        <w:rPr>
          <w:rFonts w:cs="Arial" w:ascii="Verdana" w:hAnsi="Verdana"/>
          <w:iCs/>
          <w:sz w:val="20"/>
          <w:szCs w:val="20"/>
        </w:rPr>
        <w:t>10.1.3 Conter a indicação do banco, número da conta e agência do licitante vencedor, para fins de pagamento.</w:t>
      </w:r>
    </w:p>
    <w:p>
      <w:pPr>
        <w:pStyle w:val="ListParagraph"/>
        <w:spacing w:before="57" w:after="57"/>
        <w:ind w:left="0"/>
        <w:contextualSpacing w:val="false"/>
        <w:jc w:val="both"/>
        <w:rPr>
          <w:rFonts w:ascii="Verdana" w:hAnsi="Verdana"/>
          <w:sz w:val="20"/>
          <w:szCs w:val="20"/>
        </w:rPr>
      </w:pPr>
      <w:r>
        <w:rPr>
          <w:rFonts w:cs="Arial" w:ascii="Verdana" w:hAnsi="Verdana"/>
          <w:iCs/>
          <w:sz w:val="20"/>
          <w:szCs w:val="20"/>
        </w:rPr>
        <w:t>10.2 A proposta final deverá ser documentada nos autos e será levada em consideração no decorrer da execução do contrato e aplicação de eventual sanção à Contratada, se for o caso.</w:t>
      </w:r>
    </w:p>
    <w:p>
      <w:pPr>
        <w:pStyle w:val="Normal"/>
        <w:tabs>
          <w:tab w:val="clear" w:pos="720"/>
          <w:tab w:val="left" w:pos="850" w:leader="none"/>
        </w:tabs>
        <w:spacing w:before="57" w:after="57"/>
        <w:jc w:val="both"/>
        <w:rPr>
          <w:rFonts w:ascii="Verdana" w:hAnsi="Verdana"/>
          <w:sz w:val="20"/>
          <w:szCs w:val="20"/>
        </w:rPr>
      </w:pPr>
      <w:r>
        <w:rPr>
          <w:rFonts w:cs="Arial" w:ascii="Verdana" w:hAnsi="Verdana"/>
          <w:iCs/>
          <w:sz w:val="20"/>
          <w:szCs w:val="20"/>
        </w:rPr>
        <w:t>10.2.1 Todas as especificações do objeto contidas na proposta, tais como marca, modelo, tipo, fabricante e procedência, vinculam a Contratada.</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10.3 Os preços deverão ser expressos em moeda corrente nacional, o valor unitário em algarismos e o valor global em algarismos e por extenso.</w:t>
      </w:r>
    </w:p>
    <w:p>
      <w:pPr>
        <w:pStyle w:val="Normal"/>
        <w:tabs>
          <w:tab w:val="clear" w:pos="720"/>
          <w:tab w:val="left" w:pos="850" w:leader="none"/>
        </w:tabs>
        <w:spacing w:before="57" w:after="57"/>
        <w:jc w:val="both"/>
        <w:rPr>
          <w:rFonts w:ascii="Verdana" w:hAnsi="Verdana"/>
          <w:sz w:val="20"/>
          <w:szCs w:val="20"/>
        </w:rPr>
      </w:pPr>
      <w:r>
        <w:rPr>
          <w:rFonts w:cs="Arial" w:ascii="Verdana" w:hAnsi="Verdana"/>
          <w:sz w:val="20"/>
          <w:szCs w:val="20"/>
        </w:rPr>
        <w:t>10.3.1 Ocorrendo divergência entre os preços unitários e o preço global, prevalecerão os primeiros; no caso de divergência entre os valores numéricos e os valores expressos por extenso, prevalecerão estes últimos.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10.4 A oferta deverá ser firme e precisa, limitada, rigorosamente, ao objeto deste Edital, sem conter alternativas de preço ou de qualquer outra condição que induza o julgamento a mais de um resultado, sob pena de desclassificação.</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10.5 A proposta deverá obedecer aos termos deste Edital e seus Anexos, não sendo considerada aquela que não corresponda às especificações ali contidas ou que estabeleça vínculo à proposta de outro licitante.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10.6 As propostas que contenham a descrição do objeto, o valor e os documentos complementares estarão disponíveis na internet, após a homologação.</w:t>
      </w:r>
    </w:p>
    <w:p>
      <w:pPr>
        <w:pStyle w:val="Normal"/>
        <w:rPr>
          <w:rFonts w:ascii="Verdana" w:hAnsi="Verdana"/>
          <w:sz w:val="20"/>
          <w:szCs w:val="20"/>
        </w:rPr>
      </w:pPr>
      <w:r>
        <w:rPr>
          <w:rFonts w:ascii="Verdana" w:hAnsi="Verdana"/>
          <w:sz w:val="20"/>
          <w:szCs w:val="20"/>
        </w:rPr>
      </w:r>
    </w:p>
    <w:p>
      <w:pPr>
        <w:pStyle w:val="Nivel01"/>
        <w:numPr>
          <w:ilvl w:val="0"/>
          <w:numId w:val="4"/>
        </w:numPr>
        <w:spacing w:before="57" w:after="57"/>
        <w:ind w:hanging="0" w:left="0"/>
        <w:rPr>
          <w:rFonts w:ascii="Verdana" w:hAnsi="Verdana"/>
        </w:rPr>
      </w:pPr>
      <w:r>
        <w:rPr>
          <w:rFonts w:cs="Arial" w:ascii="Verdana" w:hAnsi="Verdana"/>
          <w:lang w:eastAsia="en-US"/>
        </w:rPr>
        <w:t>DOS RECURSOS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11.1 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11.2 Havendo quem se manifeste, caberá ao Pregoeiro verificar a tempestividade e a existência de motivação da intenção de recorrer, para decidir se admite ou não o recurso, fundamentadamente.</w:t>
      </w:r>
    </w:p>
    <w:p>
      <w:pPr>
        <w:pStyle w:val="Normal"/>
        <w:tabs>
          <w:tab w:val="clear" w:pos="720"/>
          <w:tab w:val="left" w:pos="850" w:leader="none"/>
        </w:tabs>
        <w:snapToGrid w:val="false"/>
        <w:spacing w:before="57" w:after="57"/>
        <w:jc w:val="both"/>
        <w:rPr>
          <w:rFonts w:ascii="Verdana" w:hAnsi="Verdana"/>
          <w:sz w:val="20"/>
          <w:szCs w:val="20"/>
        </w:rPr>
      </w:pPr>
      <w:r>
        <w:rPr>
          <w:rFonts w:cs="Arial" w:ascii="Verdana" w:hAnsi="Verdana"/>
          <w:color w:val="000000"/>
          <w:sz w:val="20"/>
          <w:szCs w:val="20"/>
        </w:rPr>
        <w:t>11.2.1 Nesse momento o Pregoeiro não adentrará no mérito recursal, mas apenas verificará as condições de admissibilidade do recurso.</w:t>
      </w:r>
    </w:p>
    <w:p>
      <w:pPr>
        <w:pStyle w:val="Normal"/>
        <w:tabs>
          <w:tab w:val="clear" w:pos="720"/>
          <w:tab w:val="left" w:pos="850" w:leader="none"/>
        </w:tabs>
        <w:snapToGrid w:val="false"/>
        <w:spacing w:before="57" w:after="57"/>
        <w:jc w:val="both"/>
        <w:rPr>
          <w:rFonts w:ascii="Verdana" w:hAnsi="Verdana"/>
          <w:sz w:val="20"/>
          <w:szCs w:val="20"/>
        </w:rPr>
      </w:pPr>
      <w:r>
        <w:rPr>
          <w:rFonts w:cs="Arial" w:ascii="Verdana" w:hAnsi="Verdana"/>
          <w:sz w:val="20"/>
          <w:szCs w:val="20"/>
        </w:rPr>
        <w:t>11.2.2 A falta de manifestação motivada do licitante quanto à intenção de recorrer importará a decadência desse direito.</w:t>
      </w:r>
    </w:p>
    <w:p>
      <w:pPr>
        <w:pStyle w:val="Normal"/>
        <w:tabs>
          <w:tab w:val="clear" w:pos="720"/>
          <w:tab w:val="left" w:pos="850" w:leader="none"/>
        </w:tabs>
        <w:snapToGrid w:val="false"/>
        <w:spacing w:before="57" w:after="57"/>
        <w:jc w:val="both"/>
        <w:rPr>
          <w:rFonts w:ascii="Verdana" w:hAnsi="Verdana"/>
          <w:sz w:val="20"/>
          <w:szCs w:val="20"/>
        </w:rPr>
      </w:pPr>
      <w:r>
        <w:rPr>
          <w:rFonts w:cs="Arial" w:ascii="Verdana" w:hAnsi="Verdana"/>
          <w:sz w:val="20"/>
          <w:szCs w:val="20"/>
        </w:rPr>
        <w:t xml:space="preserve">11.2.3 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11.4 O acolhimento do recurso invalida tão somente os atos insuscetíveis de aproveitamento.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11.5 Os autos do processo permanecerão com vista franqueada aos interessados, no endereço constante neste Edital.</w:t>
      </w:r>
    </w:p>
    <w:p>
      <w:pPr>
        <w:pStyle w:val="Normal"/>
        <w:rPr>
          <w:rFonts w:ascii="Verdana" w:hAnsi="Verdana"/>
          <w:sz w:val="20"/>
          <w:szCs w:val="20"/>
        </w:rPr>
      </w:pPr>
      <w:r>
        <w:rPr>
          <w:rFonts w:ascii="Verdana" w:hAnsi="Verdana"/>
          <w:sz w:val="20"/>
          <w:szCs w:val="20"/>
        </w:rPr>
      </w:r>
    </w:p>
    <w:p>
      <w:pPr>
        <w:pStyle w:val="Nivel01"/>
        <w:numPr>
          <w:ilvl w:val="0"/>
          <w:numId w:val="4"/>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spacing w:before="57" w:after="57"/>
        <w:rPr>
          <w:rFonts w:ascii="Verdana" w:hAnsi="Verdana"/>
        </w:rPr>
      </w:pPr>
      <w:r>
        <w:rPr>
          <w:rFonts w:cs="Arial" w:ascii="Verdana" w:hAnsi="Verdana"/>
          <w:b w:val="false"/>
          <w:bCs w:val="false"/>
          <w:color w:val="auto"/>
        </w:rPr>
        <w:t>12.1 A sessão pública poderá ser reaberta:</w:t>
      </w:r>
    </w:p>
    <w:p>
      <w:pPr>
        <w:pStyle w:val="Nivel01"/>
        <w:keepNext w:val="false"/>
        <w:keepLines w:val="false"/>
        <w:tabs>
          <w:tab w:val="left" w:pos="567" w:leader="none"/>
          <w:tab w:val="left" w:pos="850" w:leader="none"/>
        </w:tabs>
        <w:spacing w:before="57" w:after="57"/>
        <w:rPr>
          <w:rFonts w:ascii="Verdana" w:hAnsi="Verdana"/>
        </w:rPr>
      </w:pPr>
      <w:r>
        <w:rPr>
          <w:rFonts w:cs="Arial" w:ascii="Verdana" w:hAnsi="Verdana"/>
          <w:b w:val="false"/>
          <w:bCs w:val="false"/>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tabs>
          <w:tab w:val="left" w:pos="567" w:leader="none"/>
          <w:tab w:val="left" w:pos="850" w:leader="none"/>
        </w:tabs>
        <w:spacing w:before="57" w:after="57"/>
        <w:rPr>
          <w:rFonts w:ascii="Verdana" w:hAnsi="Verdana"/>
        </w:rPr>
      </w:pPr>
      <w:r>
        <w:rPr>
          <w:rFonts w:cs="Arial" w:ascii="Verdana" w:hAnsi="Verdana"/>
          <w:b w:val="false"/>
          <w:bCs w:val="false"/>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spacing w:before="57" w:after="57"/>
        <w:rPr>
          <w:rFonts w:ascii="Verdana" w:hAnsi="Verdana"/>
        </w:rPr>
      </w:pPr>
      <w:r>
        <w:rPr>
          <w:rFonts w:cs="Arial" w:ascii="Verdana" w:hAnsi="Verdana"/>
          <w:b w:val="false"/>
          <w:bCs w:val="false"/>
          <w:color w:val="auto"/>
        </w:rPr>
        <w:t>12.2 Todos os licitantes remanescentes deverão ser convocados para acompanhar a sessão reaberta.</w:t>
      </w:r>
    </w:p>
    <w:p>
      <w:pPr>
        <w:pStyle w:val="Nivel01"/>
        <w:keepNext w:val="false"/>
        <w:keepLines w:val="false"/>
        <w:tabs>
          <w:tab w:val="left" w:pos="567" w:leader="none"/>
          <w:tab w:val="left" w:pos="850" w:leader="none"/>
        </w:tabs>
        <w:spacing w:before="57" w:after="57"/>
        <w:rPr>
          <w:rFonts w:ascii="Verdana" w:hAnsi="Verdana"/>
        </w:rPr>
      </w:pPr>
      <w:r>
        <w:rPr>
          <w:rFonts w:cs="Arial" w:ascii="Verdana" w:hAnsi="Verdana"/>
          <w:b w:val="false"/>
          <w:bCs w:val="false"/>
          <w:color w:val="auto"/>
        </w:rPr>
        <w:t>12.2.1 A convocação se dará por meio do sistema eletrônico (“chat”), e-mail, de acordo com a fase do procedimento licitatório.</w:t>
      </w:r>
    </w:p>
    <w:p>
      <w:pPr>
        <w:pStyle w:val="Nivel01"/>
        <w:tabs>
          <w:tab w:val="left" w:pos="567" w:leader="none"/>
          <w:tab w:val="left" w:pos="850" w:leader="none"/>
        </w:tabs>
        <w:spacing w:before="57" w:after="57"/>
        <w:rPr>
          <w:rFonts w:ascii="Verdana" w:hAnsi="Verdana"/>
        </w:rPr>
      </w:pPr>
      <w:r>
        <w:rPr>
          <w:rFonts w:cs="Arial" w:ascii="Verdana" w:hAnsi="Verdana"/>
          <w:b w:val="false"/>
          <w:bCs w:val="false"/>
          <w:color w:val="auto"/>
        </w:rPr>
        <w:t>12.2.2 A convocação feita por e-mail dar-se-á de acordo com os dados contidos no SICAF, sendo responsabilidade do licitante manter seus dados cadastrais atualizados.</w:t>
      </w:r>
    </w:p>
    <w:p>
      <w:pPr>
        <w:pStyle w:val="Normal"/>
        <w:rPr>
          <w:rFonts w:ascii="Verdana" w:hAnsi="Verdana"/>
          <w:sz w:val="20"/>
          <w:szCs w:val="20"/>
        </w:rPr>
      </w:pPr>
      <w:r>
        <w:rPr>
          <w:rFonts w:ascii="Verdana" w:hAnsi="Verdana"/>
          <w:sz w:val="20"/>
          <w:szCs w:val="20"/>
        </w:rPr>
      </w:r>
    </w:p>
    <w:p>
      <w:pPr>
        <w:pStyle w:val="Nivel01"/>
        <w:numPr>
          <w:ilvl w:val="0"/>
          <w:numId w:val="4"/>
        </w:numPr>
        <w:spacing w:before="57" w:after="57"/>
        <w:ind w:hanging="0" w:left="0"/>
        <w:rPr>
          <w:rFonts w:ascii="Verdana" w:hAnsi="Verdana"/>
        </w:rPr>
      </w:pPr>
      <w:r>
        <w:rPr>
          <w:rFonts w:cs="Arial" w:ascii="Verdana" w:hAnsi="Verdana"/>
        </w:rPr>
        <w:t xml:space="preserve">DA ADJUDICAÇÃO E HOMOLOGAÇÃO </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13.2 Após a fase recursal, constatada a regularidade dos atos praticados, a autoridade competente homologará o procedimento licitatório. </w:t>
      </w:r>
    </w:p>
    <w:p>
      <w:pPr>
        <w:pStyle w:val="Normal"/>
        <w:rPr>
          <w:rFonts w:ascii="Verdana" w:hAnsi="Verdana"/>
          <w:sz w:val="20"/>
          <w:szCs w:val="20"/>
        </w:rPr>
      </w:pPr>
      <w:r>
        <w:rPr>
          <w:rFonts w:ascii="Verdana" w:hAnsi="Verdana"/>
          <w:sz w:val="20"/>
          <w:szCs w:val="20"/>
        </w:rPr>
      </w:r>
    </w:p>
    <w:p>
      <w:pPr>
        <w:pStyle w:val="ListParagraph"/>
        <w:tabs>
          <w:tab w:val="clear" w:pos="720"/>
          <w:tab w:val="left" w:pos="850" w:leader="none"/>
        </w:tabs>
        <w:spacing w:before="57" w:after="57"/>
        <w:ind w:left="0"/>
        <w:contextualSpacing w:val="false"/>
        <w:jc w:val="both"/>
        <w:rPr>
          <w:rFonts w:ascii="Verdana" w:hAnsi="Verdana"/>
          <w:sz w:val="20"/>
          <w:szCs w:val="20"/>
        </w:rPr>
      </w:pPr>
      <w:r>
        <w:rPr>
          <w:rFonts w:cs="Arial" w:ascii="Verdana" w:hAnsi="Verdana"/>
          <w:b/>
          <w:bCs/>
          <w:sz w:val="20"/>
          <w:szCs w:val="20"/>
        </w:rPr>
        <w:t>14 DA ENTREGA DOS EQUIPAMENTOS</w:t>
      </w:r>
    </w:p>
    <w:p>
      <w:pPr>
        <w:pStyle w:val="ListParagraph"/>
        <w:tabs>
          <w:tab w:val="clear" w:pos="720"/>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14.1</w:t>
      </w:r>
      <w:r>
        <w:rPr>
          <w:rFonts w:cs="Arial" w:ascii="Verdana" w:hAnsi="Verdana"/>
          <w:b/>
          <w:bCs/>
          <w:sz w:val="20"/>
          <w:szCs w:val="20"/>
        </w:rPr>
        <w:t xml:space="preserve"> A CONTRATADA deverá entregar os equipamentos no prazo máximo de 20 (vinte) dias após o recebimento da Autorização de Fornecimento emitida pelo Setor de Compras da Secretaria Municipal de Saúde.</w:t>
      </w:r>
    </w:p>
    <w:p>
      <w:pPr>
        <w:pStyle w:val="Normal"/>
        <w:jc w:val="both"/>
        <w:rPr>
          <w:rFonts w:ascii="Verdana" w:hAnsi="Verdana" w:cs="Arial"/>
          <w:b/>
          <w:bCs/>
          <w:sz w:val="20"/>
          <w:szCs w:val="20"/>
        </w:rPr>
      </w:pPr>
      <w:r>
        <w:rPr>
          <w:rFonts w:cs="Arial" w:ascii="Verdana" w:hAnsi="Verdana"/>
          <w:b/>
          <w:bCs/>
          <w:sz w:val="20"/>
          <w:szCs w:val="20"/>
        </w:rPr>
        <w:t>14.2 DO LOCAL DE ENTREGA:</w:t>
      </w:r>
    </w:p>
    <w:p>
      <w:pPr>
        <w:pStyle w:val="Normal"/>
        <w:jc w:val="both"/>
        <w:rPr>
          <w:rFonts w:ascii="Verdana" w:hAnsi="Verdana" w:cs="Arial"/>
          <w:sz w:val="20"/>
          <w:szCs w:val="20"/>
        </w:rPr>
      </w:pPr>
      <w:r>
        <w:rPr>
          <w:rFonts w:cs="Arial" w:ascii="Verdana" w:hAnsi="Verdana"/>
          <w:sz w:val="20"/>
          <w:szCs w:val="20"/>
        </w:rPr>
        <w:t>*  A entrega deverá ocorrer no Almoxarifado da Atenção Básica, localizado na Rua João XXIII, nº. 287, Centro, município de São Gabriel da Palha ES, no horário de expediente deste setor, ou seja, segunda a quinta feira no horário de 08 às 16horas e as sextas-feiras no horário de 07 as 13horas.</w:t>
      </w:r>
    </w:p>
    <w:p>
      <w:pPr>
        <w:pStyle w:val="Normal"/>
        <w:jc w:val="both"/>
        <w:rPr>
          <w:rFonts w:ascii="Verdana" w:hAnsi="Verdana"/>
          <w:sz w:val="20"/>
          <w:szCs w:val="20"/>
        </w:rPr>
      </w:pPr>
      <w:r>
        <w:rPr>
          <w:rFonts w:cs="Arial" w:ascii="Verdana" w:hAnsi="Verdana"/>
          <w:sz w:val="20"/>
          <w:szCs w:val="20"/>
        </w:rPr>
        <w:t>Contato: 27 9 9740 8895</w:t>
      </w:r>
    </w:p>
    <w:p>
      <w:pPr>
        <w:pStyle w:val="Normal"/>
        <w:jc w:val="both"/>
        <w:rPr>
          <w:rFonts w:ascii="Verdana" w:hAnsi="Verdana"/>
          <w:sz w:val="20"/>
          <w:szCs w:val="20"/>
        </w:rPr>
      </w:pPr>
      <w:r>
        <w:rPr>
          <w:rFonts w:cs="Arial" w:ascii="Verdana" w:hAnsi="Verdana"/>
          <w:sz w:val="20"/>
          <w:szCs w:val="20"/>
        </w:rPr>
        <w:t>E-mail: setorcomprassgp</w:t>
      </w:r>
      <w:r>
        <w:rPr>
          <w:rFonts w:eastAsia="Times New Roman" w:cs="Arial" w:ascii="Verdana" w:hAnsi="Verdana"/>
          <w:sz w:val="20"/>
          <w:szCs w:val="20"/>
          <w:lang w:eastAsia="zh-CN"/>
        </w:rPr>
        <w:t>@gmail.com</w:t>
      </w:r>
    </w:p>
    <w:p>
      <w:pPr>
        <w:pStyle w:val="Normal"/>
        <w:jc w:val="both"/>
        <w:rPr>
          <w:rFonts w:ascii="Verdana" w:hAnsi="Verdana"/>
          <w:sz w:val="20"/>
          <w:szCs w:val="20"/>
        </w:rPr>
      </w:pPr>
      <w:r>
        <w:rPr>
          <w:rFonts w:cs="Arial" w:ascii="Verdana" w:hAnsi="Verdana"/>
          <w:sz w:val="20"/>
          <w:szCs w:val="20"/>
        </w:rPr>
        <w:t xml:space="preserve">Responsável: Secretaria Municipal de </w:t>
      </w:r>
      <w:r>
        <w:rPr>
          <w:rFonts w:eastAsia="Times New Roman" w:cs="Arial" w:ascii="Verdana" w:hAnsi="Verdana"/>
          <w:sz w:val="20"/>
          <w:szCs w:val="20"/>
          <w:lang w:eastAsia="zh-CN"/>
        </w:rPr>
        <w:t>Saúde</w:t>
      </w:r>
    </w:p>
    <w:p>
      <w:pPr>
        <w:pStyle w:val="Normal"/>
        <w:jc w:val="both"/>
        <w:rPr>
          <w:rFonts w:ascii="Verdana" w:hAnsi="Verdana"/>
          <w:sz w:val="20"/>
          <w:szCs w:val="20"/>
        </w:rPr>
      </w:pPr>
      <w:r>
        <w:rPr>
          <w:rFonts w:eastAsia="Times New Roman" w:cs="Arial" w:ascii="Verdana" w:hAnsi="Verdana"/>
          <w:sz w:val="20"/>
          <w:szCs w:val="20"/>
          <w:lang w:eastAsia="zh-CN"/>
        </w:rPr>
        <w:t xml:space="preserve">* </w:t>
      </w:r>
      <w:r>
        <w:rPr>
          <w:rFonts w:eastAsia="Times New Roman" w:cs="Arial" w:ascii="Verdana" w:hAnsi="Verdana"/>
          <w:color w:val="0A0A0A"/>
          <w:sz w:val="20"/>
          <w:szCs w:val="20"/>
          <w:lang w:eastAsia="zh-CN"/>
        </w:rPr>
        <w:t>O Almoxarifado da Atenção Básica realizará o recebimento provisório do equipamento, tornando-se definitivo somente após a instalação por parte do Técnico de Informática da Prefeitura Municipal de São Gabriel da Palha/ES</w:t>
      </w:r>
      <w:r>
        <w:rPr>
          <w:rFonts w:eastAsia="Times New Roman" w:cs="Arial" w:ascii="Verdana" w:hAnsi="Verdana"/>
          <w:sz w:val="20"/>
          <w:szCs w:val="20"/>
          <w:lang w:eastAsia="zh-CN"/>
        </w:rPr>
        <w:t>.</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b/>
          <w:bCs/>
          <w:sz w:val="20"/>
          <w:szCs w:val="20"/>
        </w:rPr>
      </w:pPr>
      <w:r>
        <w:rPr>
          <w:rFonts w:cs="Arial" w:ascii="Verdana" w:hAnsi="Verdana"/>
          <w:b/>
          <w:bCs/>
          <w:sz w:val="20"/>
          <w:szCs w:val="20"/>
        </w:rPr>
        <w:t>14.3 DAS CONDIÇÕES DE ENTREGA:</w:t>
      </w:r>
    </w:p>
    <w:p>
      <w:pPr>
        <w:pStyle w:val="Normal"/>
        <w:jc w:val="both"/>
        <w:rPr>
          <w:rFonts w:ascii="Verdana" w:hAnsi="Verdana"/>
          <w:sz w:val="20"/>
          <w:szCs w:val="20"/>
        </w:rPr>
      </w:pPr>
      <w:r>
        <w:rPr>
          <w:rFonts w:cs="Arial" w:ascii="Verdana" w:hAnsi="Verdana"/>
          <w:sz w:val="20"/>
          <w:szCs w:val="20"/>
        </w:rPr>
        <w:t>a) Os equipamentos serão recebidos no ato da entrega, no local e endereço indicados anteriormente;</w:t>
      </w:r>
    </w:p>
    <w:p>
      <w:pPr>
        <w:pStyle w:val="Nivel2"/>
        <w:numPr>
          <w:ilvl w:val="0"/>
          <w:numId w:val="0"/>
        </w:numPr>
        <w:spacing w:lineRule="auto" w:line="240" w:before="0" w:after="0"/>
        <w:ind w:hanging="0" w:left="0"/>
        <w:rPr>
          <w:rFonts w:ascii="Verdana" w:hAnsi="Verdana"/>
        </w:rPr>
      </w:pPr>
      <w:r>
        <w:rPr>
          <w:rFonts w:cs="Arial" w:ascii="Verdana" w:hAnsi="Verdana"/>
          <w:iCs/>
        </w:rPr>
        <w:t>b)</w:t>
      </w:r>
      <w:r>
        <w:rPr>
          <w:rFonts w:cs="Arial" w:ascii="Verdana" w:hAnsi="Verdana"/>
          <w:b/>
          <w:bCs/>
          <w:iCs/>
        </w:rPr>
        <w:t xml:space="preserve"> </w:t>
      </w:r>
      <w:r>
        <w:rPr>
          <w:rFonts w:cs="Arial" w:ascii="Verdana" w:hAnsi="Verdana"/>
          <w:bCs/>
          <w:iCs/>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cs="Arial" w:ascii="Verdana" w:hAnsi="Verdana"/>
          <w:iCs/>
        </w:rPr>
        <w:t>força</w:t>
      </w:r>
      <w:r>
        <w:rPr>
          <w:rFonts w:cs="Arial" w:ascii="Verdana" w:hAnsi="Verdana"/>
          <w:bCs/>
          <w:iCs/>
        </w:rPr>
        <w:t xml:space="preserve"> maior.</w:t>
      </w:r>
    </w:p>
    <w:p>
      <w:pPr>
        <w:pStyle w:val="Nivel2"/>
        <w:numPr>
          <w:ilvl w:val="0"/>
          <w:numId w:val="0"/>
        </w:numPr>
        <w:spacing w:lineRule="auto" w:line="240" w:before="0" w:after="0"/>
        <w:ind w:hanging="0" w:left="0"/>
        <w:rPr>
          <w:rFonts w:ascii="Verdana" w:hAnsi="Verdana"/>
        </w:rPr>
      </w:pPr>
      <w:r>
        <w:rPr>
          <w:rFonts w:cs="Arial" w:ascii="Verdana" w:hAnsi="Verdana"/>
          <w:bCs/>
          <w:iCs/>
        </w:rPr>
        <w:t xml:space="preserve">c) Os equipamentos serão recebidos </w:t>
      </w:r>
      <w:r>
        <w:rPr>
          <w:rFonts w:cs="Arial" w:ascii="Verdana" w:hAnsi="Verdana"/>
          <w:bCs/>
        </w:rPr>
        <w:t xml:space="preserve"> “provisoriamente” pelo(a) Almoxarifado da Atenção Básica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Pr>
          <w:rFonts w:ascii="Verdana" w:hAnsi="Verdana"/>
        </w:rPr>
      </w:pPr>
      <w:r>
        <w:rPr>
          <w:rFonts w:cs="Arial" w:ascii="Verdana" w:hAnsi="Verdana"/>
          <w:bCs/>
        </w:rPr>
        <w:t>d) Os itens poderão ser rejeitados,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ind w:left="0"/>
        <w:jc w:val="both"/>
        <w:rPr>
          <w:rFonts w:ascii="Verdana" w:hAnsi="Verdana"/>
          <w:sz w:val="20"/>
          <w:szCs w:val="20"/>
        </w:rPr>
      </w:pPr>
      <w:r>
        <w:rPr>
          <w:rFonts w:cs="Arial" w:ascii="Verdana" w:hAnsi="Verdana"/>
          <w:sz w:val="20"/>
          <w:szCs w:val="20"/>
        </w:rPr>
        <w:t>e) O recebimento provisório ou definitivo não excluirá a responsabilidade da contratada pelos prejuízos resultantes da incorreta execução do contrato.</w:t>
      </w:r>
    </w:p>
    <w:p>
      <w:pPr>
        <w:pStyle w:val="ListParagraph"/>
        <w:tabs>
          <w:tab w:val="clear" w:pos="720"/>
          <w:tab w:val="left" w:pos="850" w:leader="none"/>
        </w:tabs>
        <w:spacing w:before="57" w:after="57"/>
        <w:ind w:left="0"/>
        <w:contextualSpacing w:val="false"/>
        <w:jc w:val="both"/>
        <w:rPr>
          <w:rFonts w:ascii="Verdana" w:hAnsi="Verdana"/>
          <w:sz w:val="20"/>
          <w:szCs w:val="20"/>
        </w:rPr>
      </w:pPr>
      <w:r>
        <w:rPr>
          <w:rFonts w:eastAsia="Times New Roman" w:cs="Arial" w:ascii="Verdana" w:hAnsi="Verdana"/>
          <w:b/>
          <w:bCs/>
          <w:iCs/>
          <w:sz w:val="20"/>
          <w:szCs w:val="20"/>
          <w:lang w:eastAsia="en-US"/>
        </w:rPr>
        <w:t>f) No caso de recusa da entrega do produto pelo fornecedor, a Administração Pública adotará as providências cabíveis, de cordo com a legislação aplicável, visando sanar problemas por ventura ocorridos.</w:t>
      </w:r>
    </w:p>
    <w:p>
      <w:pPr>
        <w:pStyle w:val="Normal"/>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15. DO REAJUSTAMENTO EM SENTIDO GERAL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16. DA ACEITAÇÃO DO OBJETO E DA FISCALIZAÇÃO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lang w:eastAsia="en-US"/>
        </w:rPr>
        <w:t>17. DAS OBRIGAÇÕES DA CONTRATANTE E DA CONTRATADA</w:t>
      </w:r>
    </w:p>
    <w:p>
      <w:pPr>
        <w:pStyle w:val="ListParagraph"/>
        <w:spacing w:before="57" w:after="57"/>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Tahoma" w:ascii="Verdana" w:hAnsi="Verdana"/>
          <w:color w:val="auto"/>
        </w:rPr>
        <w:t>18</w:t>
      </w:r>
      <w:r>
        <w:rPr>
          <w:rFonts w:cs="Arial" w:ascii="Verdana" w:hAnsi="Verdana"/>
        </w:rPr>
        <w:t>. DO PAGAMENTO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úteis para fins de liquidação, na forma desta seção, prorrogáveis por igual período.</w:t>
      </w:r>
    </w:p>
    <w:p>
      <w:pPr>
        <w:pStyle w:val="ListParagraph"/>
        <w:spacing w:before="57" w:after="57"/>
        <w:ind w:left="0"/>
        <w:contextualSpacing w:val="false"/>
        <w:jc w:val="both"/>
        <w:rPr/>
      </w:pPr>
      <w:r>
        <w:rPr>
          <w:rFonts w:ascii="Verdana" w:hAnsi="Verdana"/>
          <w:sz w:val="20"/>
          <w:szCs w:val="20"/>
        </w:rPr>
        <w:t>18</w:t>
      </w:r>
      <w:r>
        <w:rPr>
          <w:rFonts w:cs="Arial" w:ascii="Verdana" w:hAnsi="Verdana"/>
          <w:color w:val="000000"/>
          <w:sz w:val="20"/>
          <w:szCs w:val="20"/>
          <w:lang w:eastAsia="en-US"/>
        </w:rPr>
        <w:t xml:space="preserve">.2.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5"/>
          <w:sz w:val="20"/>
          <w:szCs w:val="20"/>
          <w:rFonts w:cs="Arial" w:ascii="Verdana" w:hAnsi="Verdana"/>
          <w:color w:val="000000"/>
          <w:lang w:eastAsia="en-US"/>
        </w:rPr>
        <w:instrText xml:space="preserve"> HYPERLINK "http://www.planalto.gov.br/ccivil_03/_ato2019-2022/2021/lei/L14133.htm" \l "art75"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 xml:space="preserve">inciso II do art. 75 da Lei nº 14.133, de </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2021.</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18.3. Para fins de liquidação, o setor competente deverá verificar se a nota fiscal ou instrumento de cobrança equivalente apresentado expressa os elementos necessários e esse</w:t>
      </w:r>
      <w:r>
        <w:rPr>
          <w:rFonts w:ascii="Verdana" w:hAnsi="Verdana"/>
          <w:sz w:val="20"/>
          <w:szCs w:val="20"/>
        </w:rPr>
        <w:t xml:space="preserve">nciais do documento, tais como: </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O prazo de validade;</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xml:space="preserve">- A data da emissão; </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xml:space="preserve">- O valor a pagar; e </w:t>
      </w:r>
    </w:p>
    <w:p>
      <w:pPr>
        <w:pStyle w:val="Normal"/>
        <w:tabs>
          <w:tab w:val="clear" w:pos="720"/>
          <w:tab w:val="left" w:pos="563" w:leader="none"/>
        </w:tabs>
        <w:ind w:left="432"/>
        <w:jc w:val="both"/>
        <w:rPr>
          <w:rFonts w:ascii="Verdana" w:hAnsi="Verdana"/>
          <w:sz w:val="20"/>
          <w:szCs w:val="20"/>
        </w:rPr>
      </w:pPr>
      <w:r>
        <w:rPr>
          <w:rFonts w:ascii="Verdana" w:hAnsi="Verdana"/>
          <w:sz w:val="20"/>
          <w:szCs w:val="20"/>
        </w:rPr>
        <w:t>- Eventual destaque do valor de retenções tributárias cabíveis.</w:t>
      </w:r>
    </w:p>
    <w:p>
      <w:pPr>
        <w:pStyle w:val="ListParagraph"/>
        <w:spacing w:before="57" w:after="57"/>
        <w:ind w:left="0"/>
        <w:contextualSpacing w:val="false"/>
        <w:jc w:val="both"/>
        <w:rPr>
          <w:rFonts w:ascii="Verdana" w:hAnsi="Verdana"/>
          <w:sz w:val="20"/>
          <w:szCs w:val="20"/>
        </w:rPr>
      </w:pPr>
      <w:r>
        <w:rPr>
          <w:rFonts w:ascii="Verdana" w:hAnsi="Verdana"/>
          <w:sz w:val="20"/>
          <w:szCs w:val="20"/>
        </w:rPr>
        <w:t>18</w:t>
      </w:r>
      <w:r>
        <w:rPr>
          <w:rFonts w:cs="Arial" w:ascii="Verdana" w:hAnsi="Verdana"/>
          <w:color w:val="000000"/>
          <w:sz w:val="20"/>
          <w:szCs w:val="20"/>
          <w:lang w:eastAsia="en-US"/>
        </w:rPr>
        <w:t>.4.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ListParagraph"/>
        <w:spacing w:before="57" w:after="57"/>
        <w:ind w:left="0"/>
        <w:contextualSpacing w:val="false"/>
        <w:jc w:val="both"/>
        <w:rPr/>
      </w:pPr>
      <w:r>
        <w:rPr>
          <w:rFonts w:cs="Arial" w:ascii="Verdana" w:hAnsi="Verdana"/>
          <w:color w:val="000000"/>
          <w:sz w:val="20"/>
          <w:szCs w:val="20"/>
          <w:lang w:eastAsia="en-US"/>
        </w:rPr>
        <w:t>18.5. A nota fiscal ou instrumento de cobrança equivalente deverá ser obrigatoriamente acompanhado da comprovação da regularidade fiscal</w:t>
      </w:r>
      <w:r>
        <w:rPr>
          <w:rStyle w:val="InternetLink"/>
          <w:rFonts w:cs="Arial" w:ascii="Verdana" w:hAnsi="Verdana"/>
          <w:color w:val="000000"/>
          <w:sz w:val="20"/>
          <w:szCs w:val="20"/>
          <w:lang w:eastAsia="en-US"/>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18.6. O pagamento será efetuado no prazo de até 30 (trinta) dias úteis contados da finalização da liquidação da despesa.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18.7. O pagamento será realizado por meio de ordem bancária, para crédito em banco, agência e conta corrente indicados pelo contratado.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w:t>
      </w:r>
      <w:r>
        <w:rPr>
          <w:rFonts w:ascii="Verdana" w:hAnsi="Verdana"/>
          <w:sz w:val="20"/>
          <w:szCs w:val="20"/>
        </w:rPr>
        <w:t>8.</w:t>
      </w:r>
      <w:r>
        <w:rPr>
          <w:rFonts w:cs="Arial" w:ascii="Verdana" w:hAnsi="Verdana"/>
          <w:color w:val="000000"/>
          <w:sz w:val="20"/>
          <w:szCs w:val="20"/>
          <w:lang w:eastAsia="en-US"/>
        </w:rPr>
        <w:t>8. Será considerada data do pagamento o dia em que constar como emitida a ordem bancária para pagamento.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18.9. Quando do pagamento, será efetuada a retenção tributária prevista na legislação aplicável.</w:t>
      </w:r>
    </w:p>
    <w:p>
      <w:pPr>
        <w:pStyle w:val="ListParagraph"/>
        <w:spacing w:before="57" w:after="57"/>
        <w:ind w:left="0"/>
        <w:contextualSpacing w:val="false"/>
        <w:jc w:val="both"/>
        <w:rPr/>
      </w:pPr>
      <w:r>
        <w:rPr>
          <w:rFonts w:cs="Arial" w:ascii="Verdana" w:hAnsi="Verdana"/>
          <w:color w:val="000000"/>
          <w:sz w:val="20"/>
          <w:szCs w:val="20"/>
          <w:lang w:eastAsia="en-US"/>
        </w:rPr>
        <w:t xml:space="preserve">18.10. O contratado regularmente optante pelo Simples Nacional, nos termos da </w:t>
      </w:r>
      <w:hyperlink r:id="rId7">
        <w:r>
          <w:rPr>
            <w:rStyle w:val="ListLabel195"/>
            <w:rFonts w:cs="Arial" w:ascii="Verdana" w:hAnsi="Verdana"/>
            <w:color w:val="000000"/>
            <w:sz w:val="20"/>
            <w:szCs w:val="20"/>
            <w:lang w:eastAsia="en-US"/>
          </w:rPr>
          <w:t>Lei Complementar nº 123, de 2006</w:t>
        </w:r>
      </w:hyperlink>
      <w:r>
        <w:rPr>
          <w:rFonts w:cs="Arial" w:ascii="Verdana" w:hAnsi="Verdana"/>
          <w:color w:val="000000"/>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19.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sz w:val="20"/>
          <w:szCs w:val="20"/>
          <w:shd w:fill="FFFFFF" w:val="clear"/>
        </w:rPr>
        <w:t>19.1</w:t>
      </w:r>
      <w:r>
        <w:rPr>
          <w:rFonts w:cs="Arial" w:ascii="Verdana" w:hAnsi="Verdana"/>
          <w:b/>
          <w:bCs/>
          <w:sz w:val="20"/>
          <w:szCs w:val="20"/>
          <w:shd w:fill="FFFFFF" w:val="clear"/>
        </w:rPr>
        <w:t xml:space="preserve"> </w:t>
      </w:r>
      <w:r>
        <w:rPr>
          <w:rFonts w:cs="Arial" w:ascii="Verdana" w:hAnsi="Verdana"/>
          <w:sz w:val="20"/>
          <w:szCs w:val="20"/>
          <w:shd w:fill="FFFFFF" w:val="clear"/>
        </w:rPr>
        <w:t>Com</w:t>
      </w:r>
      <w:r>
        <w:rPr>
          <w:rFonts w:cs="Arial" w:ascii="Verdana" w:hAnsi="Verdana"/>
          <w:color w:val="000000"/>
          <w:sz w:val="20"/>
          <w:szCs w:val="20"/>
          <w:lang w:eastAsia="en-US"/>
        </w:rPr>
        <w:t xml:space="preserve">ete infração administrativa, nos termos da Lei, o licitante/adjudicatário que: </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19.1.1 D</w:t>
      </w:r>
      <w:bookmarkStart w:id="13" w:name="_Ref114668085"/>
      <w:r>
        <w:rPr>
          <w:rFonts w:cs="Arial" w:ascii="Verdana" w:hAnsi="Verdana"/>
          <w:color w:val="000000"/>
          <w:sz w:val="20"/>
          <w:szCs w:val="20"/>
          <w:lang w:eastAsia="en-US"/>
        </w:rPr>
        <w:t>eixar de entregar a documentação exigida para o certame ou não entregar qualquer documento que tenha sido solicitado pelo/a pregoeiro/a durante o certame;</w:t>
      </w:r>
      <w:bookmarkEnd w:id="13"/>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 xml:space="preserve">19.1.2 </w:t>
      </w:r>
      <w:bookmarkStart w:id="14" w:name="_Ref114668108"/>
      <w:r>
        <w:rPr>
          <w:rFonts w:cs="Arial" w:ascii="Verdana" w:hAnsi="Verdana"/>
          <w:color w:val="000000"/>
          <w:sz w:val="20"/>
          <w:szCs w:val="20"/>
          <w:lang w:eastAsia="en-US"/>
        </w:rPr>
        <w:t>Salvo em decorrência de fato superveniente devidamente justificado, não mantiver a proposta em especial quando:</w:t>
      </w:r>
      <w:bookmarkEnd w:id="14"/>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19.1.2.1 Não enviar a proposta adequada ao último lance ofertado ou após a negociação;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19.1.2.2 Recusar-se a enviar o detalhamento da proposta quando exigível;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 xml:space="preserve">19.1.2.3 Pedir para ser desclassificado quando encerrada a etapa competitiva; ou </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19.1.2.4 Deixar de apresentar amostra;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19.1.2.5 Apresentar proposta ou amostra em desacordo com as especificações do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19.1.3 Não celebrar o contrato ou não entregar documentação exigida para a contratação quando convocado dentro do prazo de validade de sua proposta;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19.1.3.1 Recusar-se sem justificativa, a assinar o contrato ou a ata de registro de preço, ou a aceitar ou retirar o instrumento equivalente no prazo estabelecido pela Administração;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19.1.4 A</w:t>
      </w:r>
      <w:bookmarkStart w:id="15" w:name="_Ref114668249"/>
      <w:r>
        <w:rPr>
          <w:rFonts w:cs="Arial" w:ascii="Verdana" w:hAnsi="Verdana"/>
          <w:color w:val="000000"/>
          <w:sz w:val="20"/>
          <w:szCs w:val="20"/>
          <w:lang w:eastAsia="en-US"/>
        </w:rPr>
        <w:t>presentar declaração ou documentação falsa exigida para o certame ou prestar declaração falsa durante a licitação</w:t>
      </w:r>
      <w:bookmarkEnd w:id="15"/>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19.1.5 F</w:t>
      </w:r>
      <w:bookmarkStart w:id="16" w:name="_Ref114668245"/>
      <w:r>
        <w:rPr>
          <w:rFonts w:cs="Arial" w:ascii="Verdana" w:hAnsi="Verdana"/>
          <w:color w:val="000000"/>
          <w:sz w:val="20"/>
          <w:szCs w:val="20"/>
          <w:lang w:eastAsia="en-US"/>
        </w:rPr>
        <w:t>raudar a licitação</w:t>
      </w:r>
      <w:bookmarkEnd w:id="16"/>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19.1.6 C</w:t>
      </w:r>
      <w:bookmarkStart w:id="17" w:name="_Ref114668247"/>
      <w:r>
        <w:rPr>
          <w:rFonts w:cs="Arial" w:ascii="Verdana" w:hAnsi="Verdana"/>
          <w:color w:val="000000"/>
          <w:sz w:val="20"/>
          <w:szCs w:val="20"/>
          <w:lang w:eastAsia="en-US"/>
        </w:rPr>
        <w:t>omportar-se de modo inidôneo ou cometer fraude de qualquer natureza, em especial quando:</w:t>
      </w:r>
      <w:bookmarkEnd w:id="17"/>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19.1.6.1 Agir em conluio ou em desconformidade com a lei;</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19.1.6.2 Induzir deliberadamente a erro no julgamento;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19.1.6.3 Apresentar amostra falsificada ou deteriorada;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19.1.7 P</w:t>
      </w:r>
      <w:bookmarkStart w:id="18" w:name="_Ref114668251"/>
      <w:r>
        <w:rPr>
          <w:rFonts w:cs="Arial" w:ascii="Verdana" w:hAnsi="Verdana"/>
          <w:color w:val="000000"/>
          <w:sz w:val="20"/>
          <w:szCs w:val="20"/>
          <w:lang w:eastAsia="en-US"/>
        </w:rPr>
        <w:t>raticar atos ilícitos com vistas a frustrar os objetivos da licitação</w:t>
      </w:r>
      <w:bookmarkEnd w:id="18"/>
    </w:p>
    <w:p>
      <w:pPr>
        <w:pStyle w:val="ListParagraph"/>
        <w:spacing w:before="57" w:after="57"/>
        <w:ind w:left="0"/>
        <w:contextualSpacing w:val="false"/>
        <w:jc w:val="both"/>
        <w:rPr/>
      </w:pPr>
      <w:r>
        <w:rPr>
          <w:rFonts w:cs="Arial" w:ascii="Verdana" w:hAnsi="Verdana"/>
          <w:color w:val="000000"/>
          <w:sz w:val="20"/>
          <w:szCs w:val="20"/>
          <w:lang w:eastAsia="en-US"/>
        </w:rPr>
        <w:t>19.1.8 P</w:t>
      </w:r>
      <w:bookmarkStart w:id="19" w:name="_Ref114668252"/>
      <w:r>
        <w:rPr>
          <w:rFonts w:cs="Arial" w:ascii="Verdana" w:hAnsi="Verdana"/>
          <w:color w:val="000000"/>
          <w:sz w:val="20"/>
          <w:szCs w:val="20"/>
          <w:lang w:eastAsia="en-US"/>
        </w:rPr>
        <w:t xml:space="preserve">raticar ato lesivo previsto no </w:t>
      </w:r>
      <w:r>
        <w:fldChar w:fldCharType="begin"/>
      </w:r>
      <w:r>
        <w:rPr>
          <w:rStyle w:val="ListLabel195"/>
          <w:sz w:val="20"/>
          <w:szCs w:val="20"/>
          <w:rFonts w:cs="Arial" w:ascii="Verdana" w:hAnsi="Verdana"/>
          <w:color w:val="000000"/>
          <w:lang w:eastAsia="en-US"/>
        </w:rPr>
        <w:instrText xml:space="preserve"> HYPERLINK "https://www.planalto.gov.br/ccivil_03/_ato2011-2014/2013/lei/l12846.htm" \l "art5"</w:instrText>
      </w:r>
      <w:r>
        <w:rPr>
          <w:rStyle w:val="ListLabel195"/>
          <w:sz w:val="20"/>
          <w:szCs w:val="20"/>
          <w:rFonts w:cs="Arial" w:ascii="Verdana" w:hAnsi="Verdana"/>
          <w:color w:val="000000"/>
          <w:lang w:eastAsia="en-US"/>
        </w:rPr>
        <w:fldChar w:fldCharType="separate"/>
      </w:r>
      <w:r>
        <w:rPr>
          <w:rStyle w:val="ListLabel195"/>
          <w:rFonts w:cs="Arial" w:ascii="Verdana" w:hAnsi="Verdana"/>
          <w:color w:val="000000"/>
          <w:sz w:val="20"/>
          <w:szCs w:val="20"/>
          <w:lang w:eastAsia="en-US"/>
        </w:rPr>
        <w:t>art. 5º da Lei n.º 12.846, de 2013</w:t>
      </w:r>
      <w:r>
        <w:rPr>
          <w:rStyle w:val="ListLabel195"/>
          <w:sz w:val="20"/>
          <w:szCs w:val="20"/>
          <w:rFonts w:cs="Arial" w:ascii="Verdana" w:hAnsi="Verdana"/>
          <w:color w:val="000000"/>
          <w:lang w:eastAsia="en-US"/>
        </w:rPr>
        <w:fldChar w:fldCharType="end"/>
      </w:r>
      <w:r>
        <w:rPr>
          <w:rFonts w:cs="Arial" w:ascii="Verdana" w:hAnsi="Verdana"/>
          <w:color w:val="000000"/>
          <w:sz w:val="20"/>
          <w:szCs w:val="20"/>
          <w:lang w:eastAsia="en-US"/>
        </w:rPr>
        <w:t>.</w:t>
      </w:r>
      <w:bookmarkEnd w:id="19"/>
    </w:p>
    <w:p>
      <w:pPr>
        <w:pStyle w:val="ListParagraph"/>
        <w:spacing w:before="57" w:after="57"/>
        <w:ind w:left="0"/>
        <w:contextualSpacing w:val="false"/>
        <w:jc w:val="both"/>
        <w:rPr/>
      </w:pPr>
      <w:r>
        <w:rPr>
          <w:rFonts w:cs="Arial" w:ascii="Verdana" w:hAnsi="Verdana"/>
          <w:color w:val="000000"/>
          <w:sz w:val="20"/>
          <w:szCs w:val="20"/>
          <w:lang w:eastAsia="en-US"/>
        </w:rPr>
        <w:t xml:space="preserve">19.2 Com fulcro na </w:t>
      </w:r>
      <w:r>
        <w:rPr>
          <w:rStyle w:val="Hyperlink1"/>
          <w:rFonts w:cs="Arial" w:ascii="Verdana" w:hAnsi="Verdana"/>
          <w:color w:val="000000"/>
          <w:sz w:val="20"/>
          <w:szCs w:val="20"/>
          <w:lang w:eastAsia="en-US"/>
        </w:rPr>
        <w:t>Lei nº 14.133, de 2021</w:t>
      </w:r>
      <w:r>
        <w:rPr>
          <w:rFonts w:cs="Arial" w:ascii="Verdana" w:hAnsi="Verdana"/>
          <w:color w:val="000000"/>
          <w:sz w:val="20"/>
          <w:szCs w:val="20"/>
          <w:lang w:eastAsia="en-US"/>
        </w:rPr>
        <w:t>, a Administração poderá, garantida a prévia defesa, aplicar aos licitantes e/ou adjudicatários as seguintes sanções, sem prejuízo das responsabilidades civil e criminal: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19.2.1 Advertência;</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19.2.2 Multa;</w:t>
      </w:r>
    </w:p>
    <w:p>
      <w:pPr>
        <w:pStyle w:val="Nivel2"/>
        <w:numPr>
          <w:ilvl w:val="0"/>
          <w:numId w:val="0"/>
        </w:numPr>
        <w:spacing w:lineRule="auto" w:line="240" w:before="57" w:after="57"/>
        <w:ind w:hanging="0" w:left="0"/>
        <w:rPr>
          <w:rFonts w:ascii="Verdana" w:hAnsi="Verdana"/>
        </w:rPr>
      </w:pPr>
      <w:r>
        <w:rPr>
          <w:rFonts w:ascii="Verdana" w:hAnsi="Verdana"/>
        </w:rPr>
        <w:t>19.2.3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19.3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19.3.1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19.3.2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19.3.3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19.3.4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19.3.5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19.4.1 </w:t>
      </w:r>
      <w:bookmarkStart w:id="20"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20"/>
    </w:p>
    <w:p>
      <w:pPr>
        <w:pStyle w:val="Nivel2"/>
        <w:numPr>
          <w:ilvl w:val="0"/>
          <w:numId w:val="0"/>
        </w:numPr>
        <w:spacing w:lineRule="auto" w:line="240" w:before="57" w:after="57"/>
        <w:ind w:hanging="0" w:left="0"/>
        <w:rPr>
          <w:rFonts w:ascii="Verdana" w:hAnsi="Verdana"/>
        </w:r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lineRule="auto" w:line="240" w:before="57" w:after="57"/>
        <w:ind w:hanging="0" w:left="0"/>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19.6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r>
        <w:fldChar w:fldCharType="begin"/>
      </w:r>
      <w:r>
        <w:rPr>
          <w:rStyle w:val="ListLabel196"/>
          <w:rFonts w:ascii="Verdana" w:hAnsi="Verdana"/>
          <w:color w:val="000000"/>
        </w:rPr>
        <w:instrText xml:space="preserve"> HYPERLINK "http://www.planalto.gov.br/ccivil_03/_ato2019-2022/2021/lei/L14133.htm" \l "art156%C2%A75"</w:instrText>
      </w:r>
      <w:r>
        <w:rPr>
          <w:rStyle w:val="ListLabel196"/>
          <w:rFonts w:ascii="Verdana" w:hAnsi="Verdana"/>
          <w:color w:val="000000"/>
        </w:rPr>
        <w:fldChar w:fldCharType="separate"/>
      </w:r>
      <w:r>
        <w:rPr>
          <w:rStyle w:val="ListLabel196"/>
          <w:rFonts w:ascii="Verdana" w:hAnsi="Verdana"/>
          <w:color w:val="000000"/>
        </w:rPr>
        <w:t>art. 156, §5º, da Lei n.º 14.133/2021</w:t>
      </w:r>
      <w:r>
        <w:rPr>
          <w:rStyle w:val="ListLabel196"/>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19.12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rPr>
      </w:pPr>
      <w:r>
        <w:rPr>
          <w:rFonts w:cs="Arial" w:ascii="Verdana" w:hAnsi="Verdana"/>
          <w:shd w:fill="FFFFFF" w:val="clear"/>
        </w:rPr>
        <w:t>19.13 A aplicação das sanções previstas neste edital não exclui, em hipótese alguma, a obrigação de reparação integral dos danos causados.</w:t>
      </w:r>
    </w:p>
    <w:p>
      <w:pPr>
        <w:pStyle w:val="Normal"/>
        <w:spacing w:before="57" w:after="57"/>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20. DA IMPUGNAÇÃO AO EDITAL E DO PEDIDO DE ESCLARECIMENTO</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 xml:space="preserve">20.1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20.2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20.8 A concessão de efeito suspensivo à impugnação é medida excepcional e deverá ser motivada pelo pregoeiro, nos autos do processo de licitação.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20.9 As respostas aos pedidos de esclarecimentos serão divulgadas pelo sistema e vincularão os participantes e a administração.</w:t>
      </w:r>
    </w:p>
    <w:p>
      <w:pPr>
        <w:pStyle w:val="ListParagraph"/>
        <w:spacing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spacing w:before="57" w:after="57"/>
        <w:rPr>
          <w:rFonts w:ascii="Verdana" w:hAnsi="Verdana"/>
        </w:rPr>
      </w:pPr>
      <w:r>
        <w:rPr>
          <w:rFonts w:cs="Arial" w:ascii="Verdana" w:hAnsi="Verdana"/>
        </w:rPr>
        <w:t>21. DAS DISPOSIÇÕES GERAIS</w:t>
      </w:r>
    </w:p>
    <w:p>
      <w:pPr>
        <w:pStyle w:val="Normal"/>
        <w:spacing w:before="57" w:after="57"/>
        <w:jc w:val="both"/>
        <w:rPr>
          <w:rFonts w:ascii="Verdana" w:hAnsi="Verdana"/>
          <w:sz w:val="20"/>
          <w:szCs w:val="20"/>
        </w:rPr>
      </w:pPr>
      <w:r>
        <w:rPr>
          <w:rFonts w:cs="Arial" w:ascii="Verdana" w:hAnsi="Verdana"/>
          <w:color w:val="000000"/>
          <w:sz w:val="20"/>
          <w:szCs w:val="20"/>
        </w:rPr>
        <w:t>21.1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21.3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21.5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21.8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21.9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21.10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21.11 O Edital está disponibilizado, na íntegra, no endereço eletrônico </w:t>
      </w:r>
      <w:r>
        <w:rPr>
          <w:rStyle w:val="InternetLink"/>
          <w:rFonts w:cs="Arial" w:ascii="Verdana" w:hAnsi="Verdana"/>
          <w:color w:val="000000"/>
          <w:sz w:val="20"/>
          <w:szCs w:val="20"/>
          <w:u w:val="none"/>
        </w:rPr>
        <w:t>Portal de Compras P</w:t>
      </w:r>
      <w:r>
        <w:rPr>
          <w:rFonts w:ascii="Verdana" w:hAnsi="Verdana"/>
          <w:sz w:val="20"/>
          <w:szCs w:val="20"/>
        </w:rPr>
        <w:t xml:space="preserve">úblicas – </w:t>
      </w:r>
      <w:r>
        <w:rPr>
          <w:rFonts w:ascii="Verdana" w:hAnsi="Verdana"/>
          <w:b/>
          <w:color w:val="0462C1"/>
          <w:sz w:val="20"/>
          <w:szCs w:val="20"/>
        </w:rPr>
        <w:t>www.portaldecompraspublicas.com.br</w:t>
      </w:r>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193"/>
            <w:rFonts w:ascii="Verdana" w:hAnsi="Verdana"/>
            <w:color w:val="000080"/>
            <w:sz w:val="20"/>
            <w:szCs w:val="20"/>
            <w:u w:val="single"/>
          </w:rPr>
          <w:t>licitacao@</w:t>
        </w:r>
      </w:hyperlink>
      <w:hyperlink r:id="rId11">
        <w:r>
          <w:rPr>
            <w:rStyle w:val="ListLabel193"/>
            <w:rFonts w:ascii="Verdana" w:hAnsi="Verdana"/>
            <w:color w:val="000080"/>
            <w:sz w:val="20"/>
            <w:szCs w:val="20"/>
            <w:u w:val="single"/>
          </w:rPr>
          <w:t>saogabriel</w:t>
        </w:r>
      </w:hyperlink>
      <w:hyperlink r:id="rId12">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21.12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21.12.1 ANEXO I – Termo de Referência;</w:t>
      </w:r>
    </w:p>
    <w:p>
      <w:pPr>
        <w:pStyle w:val="Normal"/>
        <w:spacing w:before="57" w:after="57"/>
        <w:jc w:val="both"/>
        <w:rPr>
          <w:rFonts w:ascii="Verdana" w:hAnsi="Verdana"/>
          <w:sz w:val="20"/>
          <w:szCs w:val="20"/>
        </w:rPr>
      </w:pPr>
      <w:r>
        <w:rPr>
          <w:rFonts w:cs="Arial" w:ascii="Verdana" w:hAnsi="Verdana"/>
          <w:color w:val="000000"/>
          <w:sz w:val="20"/>
          <w:szCs w:val="20"/>
        </w:rPr>
        <w:t>21.12.1.1 ANEXO I-1 – Estudo Técnico Preliminar;</w:t>
      </w:r>
    </w:p>
    <w:p>
      <w:pPr>
        <w:pStyle w:val="Normal"/>
        <w:tabs>
          <w:tab w:val="clear" w:pos="720"/>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21.12.2 ANEXO II – Modelo Orientativo de Proposta;</w:t>
      </w:r>
    </w:p>
    <w:p>
      <w:pPr>
        <w:pStyle w:val="Normal"/>
        <w:tabs>
          <w:tab w:val="clear" w:pos="720"/>
          <w:tab w:val="left" w:pos="800" w:leader="none"/>
        </w:tabs>
        <w:snapToGrid w:val="false"/>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ind w:left="360"/>
        <w:jc w:val="center"/>
        <w:outlineLvl w:val="0"/>
        <w:rPr>
          <w:rFonts w:ascii="Verdana" w:hAnsi="Verdana"/>
          <w:sz w:val="20"/>
          <w:szCs w:val="20"/>
        </w:rPr>
      </w:pPr>
      <w:r>
        <w:rPr>
          <w:rFonts w:cs="Arial" w:ascii="Verdana" w:hAnsi="Verdana"/>
          <w:color w:val="000000"/>
          <w:sz w:val="20"/>
          <w:szCs w:val="20"/>
        </w:rPr>
        <w:t>São Gabriel da Palha/ES, 09 de março de 2026.</w:t>
      </w:r>
    </w:p>
    <w:p>
      <w:pPr>
        <w:pStyle w:val="Normal"/>
        <w:numPr>
          <w:ilvl w:val="0"/>
          <w:numId w:val="0"/>
        </w:numPr>
        <w:tabs>
          <w:tab w:val="clear" w:pos="720"/>
          <w:tab w:val="left" w:pos="567" w:leader="none"/>
        </w:tabs>
        <w:ind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 w:val="left" w:pos="7005" w:leader="none"/>
        </w:tabs>
        <w:ind w:left="360"/>
        <w:outlineLvl w:val="0"/>
        <w:rPr>
          <w:rFonts w:ascii="Verdana" w:hAnsi="Verdana"/>
          <w:sz w:val="20"/>
          <w:szCs w:val="20"/>
        </w:rPr>
      </w:pPr>
      <w:r>
        <w:rPr>
          <w:rFonts w:ascii="Verdana" w:hAnsi="Verdana"/>
          <w:sz w:val="20"/>
          <w:szCs w:val="20"/>
        </w:rPr>
        <w:tab/>
        <w:tab/>
      </w:r>
    </w:p>
    <w:p>
      <w:pPr>
        <w:pStyle w:val="Normal"/>
        <w:numPr>
          <w:ilvl w:val="0"/>
          <w:numId w:val="0"/>
        </w:numPr>
        <w:tabs>
          <w:tab w:val="clear" w:pos="720"/>
          <w:tab w:val="left" w:pos="567" w:leader="none"/>
          <w:tab w:val="left" w:pos="7005" w:leader="none"/>
        </w:tabs>
        <w:ind w:left="360"/>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ind w:left="360"/>
        <w:jc w:val="center"/>
        <w:outlineLvl w:val="0"/>
        <w:rPr>
          <w:rFonts w:ascii="Verdana" w:hAnsi="Verdana"/>
          <w:sz w:val="20"/>
          <w:szCs w:val="20"/>
        </w:rPr>
      </w:pPr>
      <w:r>
        <w:rPr>
          <w:rFonts w:ascii="Verdana" w:hAnsi="Verdana"/>
          <w:sz w:val="20"/>
          <w:szCs w:val="20"/>
        </w:rPr>
      </w:r>
    </w:p>
    <w:p>
      <w:pPr>
        <w:pStyle w:val="Normal"/>
        <w:tabs>
          <w:tab w:val="clear" w:pos="720"/>
          <w:tab w:val="left" w:pos="1440" w:leader="none"/>
        </w:tabs>
        <w:snapToGrid w:val="false"/>
        <w:jc w:val="center"/>
        <w:rPr>
          <w:rFonts w:ascii="Verdana" w:hAnsi="Verdana"/>
          <w:sz w:val="20"/>
          <w:szCs w:val="20"/>
        </w:rPr>
      </w:pPr>
      <w:r>
        <w:rPr>
          <w:rFonts w:cs="Calibri" w:ascii="Verdana" w:hAnsi="Verdana"/>
          <w:b/>
          <w:bCs/>
          <w:color w:val="000000"/>
          <w:sz w:val="20"/>
          <w:szCs w:val="20"/>
        </w:rPr>
        <w:t>MARCELLA FERREIRA ROSSONI ROCHA</w:t>
      </w:r>
    </w:p>
    <w:p>
      <w:pPr>
        <w:pStyle w:val="Normal"/>
        <w:keepNext w:val="true"/>
        <w:keepLines/>
        <w:numPr>
          <w:ilvl w:val="0"/>
          <w:numId w:val="0"/>
        </w:numPr>
        <w:tabs>
          <w:tab w:val="clear" w:pos="720"/>
          <w:tab w:val="left" w:pos="567" w:leader="none"/>
        </w:tabs>
        <w:ind w:left="36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386" w:bottom="107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swiss"/>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eastAsia="pt-BR" w:val="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3f78ab"/>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3f78ab"/>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t286pc" w:customStyle="1">
    <w:name w:val="t286pc"/>
    <w:basedOn w:val="DefaultParagraphFont"/>
    <w:qFormat/>
    <w:rsid w:val="00f12226"/>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eastAsia="pt-BR" w:val="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cs="Calibri" w:eastAsia="Segoe U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uiPriority w:val="9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atransparencia.gov.br/ceis" TargetMode="External"/><Relationship Id="rId3" Type="http://schemas.openxmlformats.org/officeDocument/2006/relationships/hyperlink" Target="http://www.cnj.jus.br/improbidade_adm/consultar_requerido.php" TargetMode="External"/><Relationship Id="rId4" Type="http://schemas.openxmlformats.org/officeDocument/2006/relationships/hyperlink" Target="https://www.tcees.tc.br/portal-da-transparencia/consultas/lista-de"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yperlink" Target="https://www.planalto.gov.br/ccivil_03/leis/lcp/lcp123.htm"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2956</TotalTime>
  <Application>LibreOffice/24.2.6.2$Windows_X86_64 LibreOffice_project/ef66aa7e36a1bb8e65bfbc63aba53045a14d0871</Application>
  <AppVersion>15.0000</AppVersion>
  <Pages>18</Pages>
  <Words>9554</Words>
  <Characters>54261</Characters>
  <CharactersWithSpaces>63445</CharactersWithSpaces>
  <Paragraphs>361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2025-07-07T17:35:00Z</dcterms:created>
  <dc:creator>Compras</dc:creator>
  <dc:description/>
  <dc:language>pt-BR</dc:language>
  <cp:lastModifiedBy/>
  <cp:lastPrinted>2026-03-09T15:54:00Z</cp:lastPrinted>
  <dcterms:modified xsi:type="dcterms:W3CDTF">2026-03-16T14:52:50Z</dcterms:modified>
  <cp:revision>162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